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AD22AE"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D23711" w:rsidP="005D5036">
      <w:pPr>
        <w:jc w:val="center"/>
        <w:rPr>
          <w:b/>
          <w:szCs w:val="20"/>
          <w:lang w:eastAsia="lt-LT"/>
        </w:rPr>
      </w:pPr>
      <w:r>
        <w:rPr>
          <w:b/>
          <w:szCs w:val="20"/>
          <w:lang w:eastAsia="lt-LT"/>
        </w:rPr>
        <w:t>KLAIPĖDOS LOPŠELIO-</w:t>
      </w:r>
      <w:r w:rsidR="005D5036" w:rsidRPr="00D23950">
        <w:rPr>
          <w:b/>
          <w:szCs w:val="20"/>
          <w:lang w:eastAsia="lt-LT"/>
        </w:rPr>
        <w:t>DARŽELIO „</w:t>
      </w:r>
      <w:r w:rsidR="00CC6BB5">
        <w:rPr>
          <w:b/>
          <w:szCs w:val="20"/>
          <w:lang w:eastAsia="lt-LT"/>
        </w:rPr>
        <w:t>ŽILVITIS</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4C067A" w:rsidRDefault="004C067A" w:rsidP="004C067A"/>
    <w:p w:rsidR="00CC6BB5" w:rsidRPr="00CC6BB5" w:rsidRDefault="00CC6BB5" w:rsidP="00CC6BB5">
      <w:pPr>
        <w:ind w:firstLine="590"/>
        <w:jc w:val="both"/>
        <w:rPr>
          <w:lang w:eastAsia="lt-LT"/>
        </w:rPr>
      </w:pPr>
      <w:r w:rsidRPr="00CC6BB5">
        <w:rPr>
          <w:lang w:eastAsia="lt-LT"/>
        </w:rPr>
        <w:t>Klaipėdos lopšelis-darželis „Žilvitis“ (</w:t>
      </w:r>
      <w:r w:rsidRPr="00CC6BB5">
        <w:rPr>
          <w:rFonts w:eastAsia="Calibri"/>
        </w:rPr>
        <w:t>toliau –</w:t>
      </w:r>
      <w:r w:rsidRPr="00CC6BB5">
        <w:rPr>
          <w:rFonts w:ascii="Calibri" w:eastAsia="Calibri" w:hAnsi="Calibri"/>
          <w:sz w:val="22"/>
        </w:rPr>
        <w:t xml:space="preserve"> </w:t>
      </w:r>
      <w:r w:rsidRPr="00CC6BB5">
        <w:rPr>
          <w:lang w:eastAsia="lt-LT"/>
        </w:rPr>
        <w:t>Įstaiga) įgyvendina ikimokyklinio ir priešmokyklinio ugdymo programas. 2022 m. rugsėjo 1 d. duomenimis</w:t>
      </w:r>
      <w:r w:rsidR="002D13B6">
        <w:rPr>
          <w:lang w:eastAsia="lt-LT"/>
        </w:rPr>
        <w:t>,</w:t>
      </w:r>
      <w:r w:rsidRPr="00CC6BB5">
        <w:rPr>
          <w:lang w:eastAsia="lt-LT"/>
        </w:rPr>
        <w:t xml:space="preserve"> Įstaigą lankė 189 ugdytiniai, iš jų 149 vaikai buvo ugdomi pagal ikimokyklinio ugdymo, 40 vaikų – pagal priešmokyklinio ugdymo programą. Įstaigoje dirbo 23 pedagogai ir 23 nepedagoginiai darbuotojai</w:t>
      </w:r>
      <w:r w:rsidR="002D13B6">
        <w:rPr>
          <w:lang w:eastAsia="lt-LT"/>
        </w:rPr>
        <w:t>.</w:t>
      </w:r>
    </w:p>
    <w:p w:rsidR="00CC6BB5" w:rsidRPr="00CC6BB5" w:rsidRDefault="00CC6BB5" w:rsidP="00CC6BB5">
      <w:pPr>
        <w:ind w:firstLine="590"/>
        <w:jc w:val="both"/>
        <w:rPr>
          <w:rFonts w:eastAsia="Calibri"/>
        </w:rPr>
      </w:pPr>
      <w:r w:rsidRPr="00CC6BB5">
        <w:rPr>
          <w:rFonts w:eastAsia="Calibri"/>
        </w:rPr>
        <w:t>2022 m. Įstaigoje veikla buvo organizuota vadovaujantis Įstaigos 2022</w:t>
      </w:r>
      <w:r w:rsidRPr="00CC6BB5">
        <w:rPr>
          <w:lang w:eastAsia="lt-LT"/>
        </w:rPr>
        <w:t>–</w:t>
      </w:r>
      <w:r w:rsidRPr="00CC6BB5">
        <w:rPr>
          <w:rFonts w:eastAsia="Calibri"/>
        </w:rPr>
        <w:t xml:space="preserve">2024 m. strateginiu planu (toliau – Strateginis planas) ir Įstaigos 2022 m. veiklos planu (toliau – Veiklos planas). Įstaigos bendruomenė 2022 m. išsikėlė prioritetą </w:t>
      </w:r>
      <w:r w:rsidRPr="00CC6BB5">
        <w:rPr>
          <w:lang w:eastAsia="lt-LT"/>
        </w:rPr>
        <w:t>–</w:t>
      </w:r>
      <w:r w:rsidRPr="00CC6BB5">
        <w:rPr>
          <w:rFonts w:eastAsia="Calibri"/>
        </w:rPr>
        <w:t xml:space="preserve"> kokybiškų ugdymo paslaugų teikimas</w:t>
      </w:r>
      <w:r w:rsidR="002D13B6">
        <w:rPr>
          <w:rFonts w:eastAsia="Calibri"/>
        </w:rPr>
        <w:t>,</w:t>
      </w:r>
      <w:r w:rsidRPr="00CC6BB5">
        <w:rPr>
          <w:rFonts w:eastAsia="Calibri"/>
        </w:rPr>
        <w:t xml:space="preserve"> atsižvelgiant į kiekvieno vaiko poreikius bei gebėjimus, kuriant sveiką, modernią, estetišką, fiziškai ir emociškai saugią įstaigos aplinką, atliepiančią bendruomenės poreikius, skatinančią lyderystę. 2022 m. Įstaiga siekė strateginių tikslų: 1) užtikrinti kokybišką ugdymo proceso organizavimą; 2) užtikrinti sveiką, saugią ir šiuolaikinius ugdymo(si) reikalavimus atliepiančią aplinką. Strateginiams tikslams įgyvendinti Strateginiame ir Veiklos planuose buvo iškelti veiklos tikslai ir uždaviniai, numatytos priemonės laukiamiems rezultatams pasiekti.</w:t>
      </w:r>
    </w:p>
    <w:p w:rsidR="00CC6BB5" w:rsidRPr="002D13B6" w:rsidRDefault="00CC6BB5" w:rsidP="00CC6BB5">
      <w:pPr>
        <w:ind w:firstLine="590"/>
        <w:jc w:val="both"/>
        <w:rPr>
          <w:rFonts w:eastAsia="Calibri"/>
        </w:rPr>
      </w:pPr>
      <w:r w:rsidRPr="00CC6BB5">
        <w:rPr>
          <w:rFonts w:eastAsia="Calibri"/>
        </w:rPr>
        <w:t>Siekiant Strateginio plano pirmojo tikslo – užtikrinti kokybišką ugdymo proceso organizavimą</w:t>
      </w:r>
      <w:r w:rsidRPr="00CC6BB5">
        <w:rPr>
          <w:rFonts w:eastAsia="Calibri"/>
          <w:b/>
        </w:rPr>
        <w:t xml:space="preserve"> </w:t>
      </w:r>
      <w:r w:rsidRPr="00CC6BB5">
        <w:rPr>
          <w:rFonts w:eastAsia="Calibri"/>
        </w:rPr>
        <w:t xml:space="preserve">– Įstaigos veikla buvo orientuota į ugdymo proceso tobulinimą, </w:t>
      </w:r>
      <w:r w:rsidRPr="00CC6BB5">
        <w:rPr>
          <w:rFonts w:eastAsia="Calibri"/>
          <w:lang w:eastAsia="lt-LT"/>
        </w:rPr>
        <w:t>užtikrinant kokybišką inovatyvų ugdymo(si) procesą, atitinkantį įvairių gebėjimų turinčių vaikų poreikius</w:t>
      </w:r>
      <w:r w:rsidRPr="00CC6BB5">
        <w:rPr>
          <w:rFonts w:eastAsia="Calibri"/>
        </w:rPr>
        <w:t xml:space="preserve">. Tikslui pasiekti buvo vykdomi keturi Veiklos plano </w:t>
      </w:r>
      <w:r w:rsidRPr="002D13B6">
        <w:rPr>
          <w:rFonts w:eastAsia="Calibri"/>
        </w:rPr>
        <w:t xml:space="preserve">uždaviniai: </w:t>
      </w:r>
    </w:p>
    <w:p w:rsidR="00CC6BB5" w:rsidRPr="002D13B6" w:rsidRDefault="00CC6BB5" w:rsidP="00CC6BB5">
      <w:pPr>
        <w:ind w:firstLine="595"/>
        <w:jc w:val="both"/>
        <w:rPr>
          <w:rFonts w:eastAsia="Calibri"/>
        </w:rPr>
      </w:pPr>
      <w:r w:rsidRPr="002D13B6">
        <w:rPr>
          <w:rFonts w:eastAsia="Calibri"/>
        </w:rPr>
        <w:t>– įgyvendinant pirmąjį uždavinį – užtikrinti įtraukųjį ugdymą, siekiant asmeninės vaiko pažangos ir pasiekimų gerinimo – padaryta pažanga pedagogų profesinio tobulėjimo srityje, 100 % pedagogų dalyvavo ilgalaikėje programoje „Ugdymo organizavimo kokybės gerinimas</w:t>
      </w:r>
      <w:r w:rsidR="002D13B6">
        <w:rPr>
          <w:rFonts w:eastAsia="Calibri"/>
        </w:rPr>
        <w:t>,</w:t>
      </w:r>
      <w:r w:rsidRPr="002D13B6">
        <w:rPr>
          <w:rFonts w:eastAsia="Calibri"/>
        </w:rPr>
        <w:t xml:space="preserve"> atliepiant individualius vaiko poreikius“, 84 % pedagogų dalyvavo metodinėse dienose įtraukiojo ugdymo temomis, pristatytas 1 pranešimas įtraukiojo ugdymo tema metodinėje dienoje. Logopedas suteikė pagalbą 49 vaikui, 1 vaikui teikta mokytojo padėjėjo pagalba, parengta 12 pritaikytų ikimokyklinio ir priešmokyklinio ugdymo programų, teiktos logopedo konsultacijos tėvams. Analizuojant specialiųjų poreikių vaikų pasiekimų rezultatus, 100 % vaikų padarė asmeninę pažangą; </w:t>
      </w:r>
    </w:p>
    <w:p w:rsidR="00CC6BB5" w:rsidRPr="00CC6BB5" w:rsidRDefault="00CC6BB5" w:rsidP="00CC6BB5">
      <w:pPr>
        <w:ind w:firstLine="595"/>
        <w:jc w:val="both"/>
        <w:rPr>
          <w:rFonts w:eastAsia="Calibri"/>
        </w:rPr>
      </w:pPr>
      <w:r w:rsidRPr="002D13B6">
        <w:rPr>
          <w:rFonts w:eastAsia="Calibri"/>
        </w:rPr>
        <w:t>– įgyvendinant antrąjį uždavinį – sudaryti sąlygas vaikų saviraiškos ir kūrybiškumo ugdymui – Įstaigoje įgyvendintos 4 neformaliojo vaikų švietimo programos (meninio (dailės) ugdymo, fizinio, sveikos ir saugios gyvensenos bei pažinimo ir tyrinėjimo)</w:t>
      </w:r>
      <w:r w:rsidRPr="00CC6BB5">
        <w:rPr>
          <w:rFonts w:eastAsia="Calibri"/>
        </w:rPr>
        <w:t>, kurios buvo atnaujintos. 60 % vaikų dalyvavo 29 miesto ir respublikos ugdymo įstaigų organizuotose parodose ir konkursuose, Įstaigos organizuotose 5 akcijose, 3 virtualiose parodose, projektuose (3 tarptautiniai, 18 respublikinių, 5 socialinių partnerių parengti projektai, 10 Įstaigos).</w:t>
      </w:r>
      <w:r w:rsidRPr="00CC6BB5">
        <w:rPr>
          <w:rFonts w:ascii="Calibri" w:eastAsia="Calibri" w:hAnsi="Calibri"/>
          <w:sz w:val="22"/>
          <w:szCs w:val="22"/>
        </w:rPr>
        <w:t xml:space="preserve"> </w:t>
      </w:r>
      <w:r w:rsidRPr="00CC6BB5">
        <w:rPr>
          <w:rFonts w:eastAsia="Calibri"/>
        </w:rPr>
        <w:t xml:space="preserve">Organizuotos 8 edukacinės išvykos ugdytiniams, edukacinis susitikimas su ornitologu; </w:t>
      </w:r>
    </w:p>
    <w:p w:rsidR="00CC6BB5" w:rsidRPr="00CC6BB5" w:rsidRDefault="00CC6BB5" w:rsidP="00CC6BB5">
      <w:pPr>
        <w:ind w:firstLine="595"/>
        <w:jc w:val="both"/>
        <w:rPr>
          <w:rFonts w:eastAsia="Calibri"/>
          <w:color w:val="000000"/>
        </w:rPr>
      </w:pPr>
      <w:r w:rsidRPr="00CC6BB5">
        <w:rPr>
          <w:rFonts w:eastAsia="Calibri"/>
        </w:rPr>
        <w:t>– įgyvendinant trečiąjį uždavinį –</w:t>
      </w:r>
      <w:r w:rsidRPr="00CC6BB5">
        <w:rPr>
          <w:rFonts w:eastAsia="Calibri"/>
          <w:color w:val="C00000"/>
        </w:rPr>
        <w:t xml:space="preserve"> </w:t>
      </w:r>
      <w:r w:rsidRPr="00CC6BB5">
        <w:rPr>
          <w:rFonts w:eastAsia="Calibri"/>
        </w:rPr>
        <w:t xml:space="preserve">tobulinti vaikų pažangos ir pasiekimų vertinimo aptarimą su ugdytinių tėvais – 82,1 % ugdytinių tėvų rudenį vykusių susirinkimų metu supažindinti su vaikų vertinimo tvarka, metodais, periodiškumu, informavimo būdais. 90 % vaikų tėvų su vaiko pasiekimais buvo supažindinti pasirašytinai bei individualių pokalbių metu pavasarį ir rudenį. Parengta anketa tėvams apie vaiko gebėjimus. 100 </w:t>
      </w:r>
      <w:r w:rsidRPr="00AD22AE">
        <w:rPr>
          <w:rFonts w:eastAsia="Calibri"/>
        </w:rPr>
        <w:t xml:space="preserve">% </w:t>
      </w:r>
      <w:r w:rsidRPr="00CC6BB5">
        <w:rPr>
          <w:rFonts w:eastAsia="Calibri"/>
        </w:rPr>
        <w:t>pedagogų tobulino kvalifikaciją pažangos ir pasiekimų vertinimo srityje</w:t>
      </w:r>
      <w:r w:rsidR="002D13B6">
        <w:rPr>
          <w:rFonts w:eastAsia="Calibri"/>
        </w:rPr>
        <w:t>,</w:t>
      </w:r>
      <w:r w:rsidRPr="00CC6BB5">
        <w:rPr>
          <w:rFonts w:eastAsia="Calibri"/>
        </w:rPr>
        <w:t xml:space="preserve"> dalyvaudami 4 kvalifikacijos tobulinimo renginiuose vertinimo ir įsivertinimo tema. Atlikto Įstaigos veiklos įsivertinimo rezultatai parodė, kad 94,6 % tėvų visiškai ar iš dalies sutinka su teiginiu, kad aptaria su pedagogais vaiko pasiekimus ir pažangą, informacija </w:t>
      </w:r>
      <w:r w:rsidR="00F2394B">
        <w:rPr>
          <w:rFonts w:eastAsia="Calibri"/>
        </w:rPr>
        <w:t xml:space="preserve">pateikiama </w:t>
      </w:r>
      <w:r w:rsidRPr="00CC6BB5">
        <w:rPr>
          <w:rFonts w:eastAsia="Calibri"/>
        </w:rPr>
        <w:t>konfidencialiai (75,5 %) ir reguliariai (83 %);</w:t>
      </w:r>
    </w:p>
    <w:p w:rsidR="00CC6BB5" w:rsidRPr="00CC6BB5" w:rsidRDefault="00CC6BB5" w:rsidP="00CC6BB5">
      <w:pPr>
        <w:ind w:left="29" w:firstLine="567"/>
        <w:jc w:val="both"/>
        <w:rPr>
          <w:rFonts w:eastAsia="Calibri"/>
        </w:rPr>
      </w:pPr>
      <w:r w:rsidRPr="00CC6BB5">
        <w:rPr>
          <w:rFonts w:eastAsia="Calibri"/>
        </w:rPr>
        <w:t>– įgyvendinant ketvirtąjį uždavinį –</w:t>
      </w:r>
      <w:r w:rsidRPr="00CC6BB5">
        <w:rPr>
          <w:rFonts w:eastAsia="Calibri"/>
          <w:sz w:val="22"/>
          <w:szCs w:val="22"/>
        </w:rPr>
        <w:t xml:space="preserve"> </w:t>
      </w:r>
      <w:r w:rsidRPr="00CC6BB5">
        <w:rPr>
          <w:rFonts w:eastAsia="Calibri"/>
        </w:rPr>
        <w:t xml:space="preserve">kurti nuolat besimokančią, perspektyvią ir iniciatyvią bendruomenę, sudarant sąlygas tobulėti – Įstaigos pedagogai organizavo 3 respublikines virtualių kūrybinių darbų parodas, 5 akcijas, parengė ir įgyvendino 10 projektų (iš jų 2 respublikinius), </w:t>
      </w:r>
      <w:r w:rsidRPr="00CC6BB5">
        <w:rPr>
          <w:rFonts w:eastAsia="Calibri"/>
        </w:rPr>
        <w:lastRenderedPageBreak/>
        <w:t>pristatė 5 pranešimus respublikinėse konferencijose, 8 – miesto ikimokyklinio ugdymo įstaigų organizuotose metodinėse dienose, 3 – Įstaigos metodinės grupės susirinkimuose. 2022 m. pedagogai kvalifikaciją tobulino 2114 val. (vidutiniškai 91 val. vienas pedagogas per metus), kvalifikacijos tobulinimui panaudota 2</w:t>
      </w:r>
      <w:r w:rsidR="00F2394B">
        <w:rPr>
          <w:rFonts w:eastAsia="Calibri"/>
        </w:rPr>
        <w:t xml:space="preserve"> </w:t>
      </w:r>
      <w:r w:rsidRPr="00CC6BB5">
        <w:rPr>
          <w:rFonts w:eastAsia="Calibri"/>
        </w:rPr>
        <w:t>500 Eur. 1 pedagogui suteikta metodininko kvalifikacinė kategorija.</w:t>
      </w:r>
    </w:p>
    <w:p w:rsidR="00CC6BB5" w:rsidRPr="00F2394B" w:rsidRDefault="00CC6BB5" w:rsidP="00CC6BB5">
      <w:pPr>
        <w:ind w:firstLine="591"/>
        <w:jc w:val="both"/>
        <w:rPr>
          <w:rFonts w:eastAsia="Calibri"/>
          <w:lang w:eastAsia="lt-LT"/>
        </w:rPr>
      </w:pPr>
      <w:r w:rsidRPr="00CC6BB5">
        <w:rPr>
          <w:rFonts w:eastAsia="Calibri"/>
        </w:rPr>
        <w:t xml:space="preserve">Siekiant Strateginio plano antrojo tikslo – užtikrinti sveiką, saugią ir šiuolaikinius ugdymo(si) reikalavimus atliepiančią aplinką – Įstaigos veikla buvo orientuota į </w:t>
      </w:r>
      <w:r w:rsidRPr="00CC6BB5">
        <w:rPr>
          <w:rFonts w:eastAsia="Calibri"/>
          <w:lang w:eastAsia="lt-LT"/>
        </w:rPr>
        <w:t xml:space="preserve">sveikos, modernios, estetiškos, fiziškai ir emociškai saugios aplinkos, bendruomenės poreikius atliepiančios ir skatinančios lyderystę kūrimą. Tikslui pasiekti buvo vykdomi du Veiklos plano </w:t>
      </w:r>
      <w:r w:rsidRPr="00F2394B">
        <w:rPr>
          <w:rFonts w:eastAsia="Calibri"/>
          <w:lang w:eastAsia="lt-LT"/>
        </w:rPr>
        <w:t xml:space="preserve">uždaviniai: </w:t>
      </w:r>
    </w:p>
    <w:p w:rsidR="00CC6BB5" w:rsidRPr="00CC6BB5" w:rsidRDefault="00CC6BB5" w:rsidP="00CC6BB5">
      <w:pPr>
        <w:ind w:left="29" w:firstLine="567"/>
        <w:jc w:val="both"/>
        <w:rPr>
          <w:rFonts w:eastAsia="Calibri"/>
        </w:rPr>
      </w:pPr>
      <w:r w:rsidRPr="00F2394B">
        <w:rPr>
          <w:rFonts w:eastAsia="Calibri"/>
          <w:lang w:eastAsia="lt-LT"/>
        </w:rPr>
        <w:t xml:space="preserve">– įgyvendinant pirmąjį uždavinį – užtikrinti Įstaigoje saugią, modernią, sveikatos </w:t>
      </w:r>
      <w:r w:rsidRPr="00CC6BB5">
        <w:rPr>
          <w:rFonts w:eastAsia="Calibri"/>
          <w:lang w:eastAsia="lt-LT"/>
        </w:rPr>
        <w:t>saugojimui ir stiprinimui palankią aplinką – atlikti 2 grupių patalpų atnaujinimo darbai (</w:t>
      </w:r>
      <w:r w:rsidRPr="00CC6BB5">
        <w:rPr>
          <w:rFonts w:eastAsia="Calibri"/>
        </w:rPr>
        <w:t>8</w:t>
      </w:r>
      <w:r w:rsidR="00F2394B">
        <w:rPr>
          <w:rFonts w:eastAsia="Calibri"/>
        </w:rPr>
        <w:t xml:space="preserve"> </w:t>
      </w:r>
      <w:r w:rsidRPr="00CC6BB5">
        <w:rPr>
          <w:rFonts w:eastAsia="Calibri"/>
        </w:rPr>
        <w:t>000 Eur), 1 grupėje įrengta oro kondicionavimo sistema (1</w:t>
      </w:r>
      <w:r w:rsidR="00F2394B">
        <w:rPr>
          <w:rFonts w:eastAsia="Calibri"/>
        </w:rPr>
        <w:t xml:space="preserve"> </w:t>
      </w:r>
      <w:r w:rsidRPr="00CC6BB5">
        <w:rPr>
          <w:rFonts w:eastAsia="Calibri"/>
        </w:rPr>
        <w:t>430 Eur); atnaujinti</w:t>
      </w:r>
      <w:r w:rsidRPr="00CC6BB5">
        <w:rPr>
          <w:rFonts w:eastAsia="Calibri"/>
          <w:lang w:eastAsia="lt-LT"/>
        </w:rPr>
        <w:t xml:space="preserve"> </w:t>
      </w:r>
      <w:r w:rsidRPr="00CC6BB5">
        <w:rPr>
          <w:rFonts w:eastAsia="Calibri"/>
        </w:rPr>
        <w:t xml:space="preserve">1 grupėje mokykliniai stalai ir kėdės, 3 grupių miegamuosiuose </w:t>
      </w:r>
      <w:r w:rsidR="00F2394B">
        <w:rPr>
          <w:rFonts w:eastAsia="Calibri"/>
        </w:rPr>
        <w:t xml:space="preserve">įrengtos </w:t>
      </w:r>
      <w:r w:rsidRPr="00CC6BB5">
        <w:rPr>
          <w:rFonts w:eastAsia="Calibri"/>
        </w:rPr>
        <w:t>žaliuzės (2</w:t>
      </w:r>
      <w:r w:rsidR="00F2394B">
        <w:rPr>
          <w:rFonts w:eastAsia="Calibri"/>
        </w:rPr>
        <w:t xml:space="preserve"> </w:t>
      </w:r>
      <w:r w:rsidRPr="00CC6BB5">
        <w:rPr>
          <w:rFonts w:eastAsia="Calibri"/>
        </w:rPr>
        <w:t>453 Eur). Sudarytos palankesnės sąlygos informacinių komunikacinių technologijų taikymui: nupirkti 2 nešiojami kompiuteriai, 3 planšetiniai kompiuteriai, 3 SMART televizoriai (3</w:t>
      </w:r>
      <w:r w:rsidR="00F2394B">
        <w:rPr>
          <w:rFonts w:eastAsia="Calibri"/>
        </w:rPr>
        <w:t xml:space="preserve"> </w:t>
      </w:r>
      <w:r w:rsidRPr="00CC6BB5">
        <w:rPr>
          <w:rFonts w:eastAsia="Calibri"/>
        </w:rPr>
        <w:t>601 Eur). Kitų mokymo(si) priemonių grupėse, edukacinėse erdvėse atnaujinimui panaudota 3</w:t>
      </w:r>
      <w:r w:rsidR="00F2394B">
        <w:rPr>
          <w:rFonts w:eastAsia="Calibri"/>
        </w:rPr>
        <w:t xml:space="preserve"> </w:t>
      </w:r>
      <w:r w:rsidRPr="00CC6BB5">
        <w:rPr>
          <w:rFonts w:eastAsia="Calibri"/>
        </w:rPr>
        <w:t>509 Eur. Kuriant sveiką ir emociškai saugią aplinką, Įstaigoje buvo tęsiamas sveikatos stiprinimo programos „Sveikatos takeliu 2021–2025 m.“ įgyvendinimas, dalyvauta 4 respublikiniuose projektuose, įgyvendinta 1 prevencinė smurto ir patyčių programa. 85 % pedagogų organizavo po 3–5 ugdomąsias veiklas lauko edukacinėse erdvėse. Grupėse įgyvendinta 10 sveikatos stiprinimo projektų, organizuotos 5 teminės</w:t>
      </w:r>
      <w:r w:rsidRPr="00CC6BB5">
        <w:rPr>
          <w:rFonts w:eastAsia="Calibri"/>
          <w:b/>
        </w:rPr>
        <w:t xml:space="preserve"> </w:t>
      </w:r>
      <w:r w:rsidRPr="00CC6BB5">
        <w:rPr>
          <w:rFonts w:eastAsia="Calibri"/>
        </w:rPr>
        <w:t>savaitės fizinės ir emocinės sveikatos stiprinimui, 3 akcijos. Šiose veiklose dalyvavo 100 % Įstaigos ugdytinių ir pedagogų;</w:t>
      </w:r>
    </w:p>
    <w:p w:rsidR="00CC6BB5" w:rsidRPr="00CC6BB5" w:rsidRDefault="00CC6BB5" w:rsidP="00CC6BB5">
      <w:pPr>
        <w:ind w:firstLine="595"/>
        <w:jc w:val="both"/>
        <w:rPr>
          <w:rFonts w:eastAsia="Calibri"/>
        </w:rPr>
      </w:pPr>
      <w:r w:rsidRPr="00CC6BB5">
        <w:rPr>
          <w:rFonts w:eastAsia="Calibri"/>
        </w:rPr>
        <w:t xml:space="preserve">– įgyvendinant antrąjį uždavinį – </w:t>
      </w:r>
      <w:r w:rsidRPr="00CC6BB5">
        <w:rPr>
          <w:rFonts w:eastAsia="Calibri"/>
          <w:lang w:eastAsia="lt-LT"/>
        </w:rPr>
        <w:t xml:space="preserve">siekti aktyvaus Įstaigos, tėvų ir socialinių partnerių bendradarbiavimo – </w:t>
      </w:r>
      <w:r w:rsidRPr="00CC6BB5">
        <w:rPr>
          <w:rFonts w:eastAsia="Calibri"/>
        </w:rPr>
        <w:t>Įstaigos tarybai</w:t>
      </w:r>
      <w:r w:rsidR="00F2394B">
        <w:rPr>
          <w:rFonts w:eastAsia="Calibri"/>
        </w:rPr>
        <w:t>,</w:t>
      </w:r>
      <w:r w:rsidRPr="00CC6BB5">
        <w:rPr>
          <w:rFonts w:eastAsia="Calibri"/>
        </w:rPr>
        <w:t xml:space="preserve"> bendradarbiaujant su </w:t>
      </w:r>
      <w:r w:rsidR="00F2394B">
        <w:rPr>
          <w:rFonts w:eastAsia="Calibri"/>
        </w:rPr>
        <w:t>T</w:t>
      </w:r>
      <w:r w:rsidRPr="00CC6BB5">
        <w:rPr>
          <w:rFonts w:eastAsia="Calibri"/>
        </w:rPr>
        <w:t>ėvų taryba</w:t>
      </w:r>
      <w:r w:rsidR="00F2394B">
        <w:rPr>
          <w:rFonts w:eastAsia="Calibri"/>
        </w:rPr>
        <w:t>,</w:t>
      </w:r>
      <w:r w:rsidRPr="00CC6BB5">
        <w:rPr>
          <w:rFonts w:eastAsia="Calibri"/>
        </w:rPr>
        <w:t xml:space="preserve"> organizuota hortenzijų sodinimo akcija, kurios metu Įstaigos teritorijoje buvo pasodinta 12 hortenzijų. Tėvai aktyviai įsijungė į 6 bendras projektines veiklas, dalyvavo 3 paskaitose tėvams emocinės sveikatos</w:t>
      </w:r>
      <w:r w:rsidR="00F2394B">
        <w:rPr>
          <w:rFonts w:eastAsia="Calibri"/>
        </w:rPr>
        <w:t xml:space="preserve"> stiprinimui</w:t>
      </w:r>
      <w:r w:rsidRPr="00CC6BB5">
        <w:rPr>
          <w:rFonts w:eastAsia="Calibri"/>
        </w:rPr>
        <w:t>. Tėvai prisidėjo prie Įstaigos aplinkos gerinimo</w:t>
      </w:r>
      <w:r w:rsidR="00EA57E6">
        <w:rPr>
          <w:rFonts w:eastAsia="Calibri"/>
        </w:rPr>
        <w:t>,</w:t>
      </w:r>
      <w:r w:rsidRPr="00CC6BB5">
        <w:rPr>
          <w:rFonts w:eastAsia="Calibri"/>
        </w:rPr>
        <w:t xml:space="preserve"> teikdami pagalbą suremontuojant žaidimų aikštelę, padovanodami virtuvinę spintelę. Plėtojant bendradarbiavimą su socialiniais partneriais, pasirašyta 1 nauja sutartis, 1 sutartis atnaujinta, dalyvauta 3 socialinių partnerių organizuotose metodinėse dienose, respublikinėje metodinėje-praktinėje konferencijoje Jonavos lopšelyje-darželyje „Žilvitis“. Vykusių renginių metu Įstaigos pedagogai pristatė 4 pranešimus. Organizuotos „Futboliuko“ varžybos su socialiniais partneriais, Įstaigos ugdytiniai dalyvavo socialinių partnerių organizuojamuose 3 renginiuose.</w:t>
      </w:r>
    </w:p>
    <w:p w:rsidR="00CC6BB5" w:rsidRPr="00CC6BB5" w:rsidRDefault="00CC6BB5" w:rsidP="00CC6BB5">
      <w:pPr>
        <w:ind w:firstLine="591"/>
        <w:jc w:val="both"/>
        <w:rPr>
          <w:rFonts w:eastAsia="Calibri"/>
        </w:rPr>
      </w:pPr>
      <w:r w:rsidRPr="00CC6BB5">
        <w:rPr>
          <w:rFonts w:eastAsia="Calibri"/>
        </w:rPr>
        <w:t>2022 m. finansinė Įstaigos situacija:</w:t>
      </w:r>
    </w:p>
    <w:tbl>
      <w:tblPr>
        <w:tblStyle w:val="Lentelstinklelis"/>
        <w:tblW w:w="0" w:type="auto"/>
        <w:tblInd w:w="19" w:type="dxa"/>
        <w:tblLook w:val="04A0" w:firstRow="1" w:lastRow="0" w:firstColumn="1" w:lastColumn="0" w:noHBand="0" w:noVBand="1"/>
      </w:tblPr>
      <w:tblGrid>
        <w:gridCol w:w="1990"/>
        <w:gridCol w:w="1470"/>
        <w:gridCol w:w="1216"/>
        <w:gridCol w:w="1283"/>
        <w:gridCol w:w="3760"/>
      </w:tblGrid>
      <w:tr w:rsidR="00CC6BB5" w:rsidRPr="00CC6BB5" w:rsidTr="00CC6BB5">
        <w:tc>
          <w:tcPr>
            <w:tcW w:w="1990" w:type="dxa"/>
            <w:vMerge w:val="restart"/>
            <w:tcBorders>
              <w:top w:val="single" w:sz="4" w:space="0" w:color="auto"/>
              <w:left w:val="single" w:sz="4" w:space="0" w:color="auto"/>
              <w:bottom w:val="single" w:sz="4" w:space="0" w:color="auto"/>
              <w:right w:val="single" w:sz="4" w:space="0" w:color="auto"/>
            </w:tcBorders>
            <w:hideMark/>
          </w:tcPr>
          <w:p w:rsidR="00CC6BB5" w:rsidRPr="00CC6BB5" w:rsidRDefault="00CC6BB5" w:rsidP="00CC6BB5">
            <w:pPr>
              <w:jc w:val="center"/>
            </w:pPr>
            <w:r w:rsidRPr="00CC6BB5">
              <w:t xml:space="preserve">Finansavimo </w:t>
            </w:r>
          </w:p>
          <w:p w:rsidR="00CC6BB5" w:rsidRPr="00CC6BB5" w:rsidRDefault="00CC6BB5" w:rsidP="00CC6BB5">
            <w:pPr>
              <w:jc w:val="center"/>
            </w:pPr>
            <w:r w:rsidRPr="00CC6BB5">
              <w:t>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CC6BB5" w:rsidRPr="00CC6BB5" w:rsidRDefault="00CC6BB5" w:rsidP="00CC6BB5">
            <w:pPr>
              <w:jc w:val="center"/>
            </w:pPr>
            <w:r w:rsidRPr="00CC6BB5">
              <w:t>Lėšos (tūkst. eurų)</w:t>
            </w:r>
          </w:p>
        </w:tc>
        <w:tc>
          <w:tcPr>
            <w:tcW w:w="3760" w:type="dxa"/>
            <w:vMerge w:val="restart"/>
            <w:tcBorders>
              <w:top w:val="single" w:sz="4" w:space="0" w:color="auto"/>
              <w:left w:val="single" w:sz="4" w:space="0" w:color="auto"/>
              <w:right w:val="single" w:sz="4" w:space="0" w:color="auto"/>
            </w:tcBorders>
          </w:tcPr>
          <w:p w:rsidR="00CC6BB5" w:rsidRPr="00CC6BB5" w:rsidRDefault="00CC6BB5" w:rsidP="00CC6BB5">
            <w:pPr>
              <w:jc w:val="center"/>
            </w:pPr>
            <w:r w:rsidRPr="00CC6BB5">
              <w:t>Pastabos</w:t>
            </w:r>
          </w:p>
          <w:p w:rsidR="00CC6BB5" w:rsidRPr="00CC6BB5" w:rsidRDefault="00CC6BB5" w:rsidP="00CC6BB5">
            <w:pPr>
              <w:jc w:val="center"/>
            </w:pPr>
          </w:p>
        </w:tc>
      </w:tr>
      <w:tr w:rsidR="00CC6BB5" w:rsidRPr="00CC6BB5" w:rsidTr="00CC6BB5">
        <w:tc>
          <w:tcPr>
            <w:tcW w:w="1990" w:type="dxa"/>
            <w:vMerge/>
            <w:tcBorders>
              <w:top w:val="single" w:sz="4" w:space="0" w:color="auto"/>
              <w:left w:val="single" w:sz="4" w:space="0" w:color="auto"/>
              <w:bottom w:val="single" w:sz="4" w:space="0" w:color="auto"/>
              <w:right w:val="single" w:sz="4" w:space="0" w:color="auto"/>
            </w:tcBorders>
            <w:vAlign w:val="center"/>
            <w:hideMark/>
          </w:tcPr>
          <w:p w:rsidR="00CC6BB5" w:rsidRPr="00CC6BB5" w:rsidRDefault="00CC6BB5" w:rsidP="00CC6BB5"/>
        </w:tc>
        <w:tc>
          <w:tcPr>
            <w:tcW w:w="147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pPr>
              <w:jc w:val="center"/>
            </w:pPr>
            <w:r w:rsidRPr="00CC6BB5">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pPr>
              <w:jc w:val="center"/>
            </w:pPr>
            <w:r w:rsidRPr="00CC6BB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pPr>
              <w:jc w:val="center"/>
            </w:pPr>
            <w:r w:rsidRPr="00CC6BB5">
              <w:t>Įvykdymas</w:t>
            </w:r>
          </w:p>
          <w:p w:rsidR="00CC6BB5" w:rsidRPr="00CC6BB5" w:rsidRDefault="00CC6BB5" w:rsidP="00CC6BB5">
            <w:pPr>
              <w:jc w:val="center"/>
            </w:pPr>
            <w:r w:rsidRPr="00CC6BB5">
              <w:t>(%)</w:t>
            </w:r>
          </w:p>
        </w:tc>
        <w:tc>
          <w:tcPr>
            <w:tcW w:w="3760" w:type="dxa"/>
            <w:vMerge/>
            <w:tcBorders>
              <w:left w:val="single" w:sz="4" w:space="0" w:color="auto"/>
              <w:bottom w:val="single" w:sz="4" w:space="0" w:color="auto"/>
              <w:right w:val="single" w:sz="4" w:space="0" w:color="auto"/>
            </w:tcBorders>
          </w:tcPr>
          <w:p w:rsidR="00CC6BB5" w:rsidRPr="00CC6BB5" w:rsidRDefault="00CC6BB5" w:rsidP="00CC6BB5"/>
        </w:tc>
      </w:tr>
      <w:tr w:rsidR="00CC6BB5" w:rsidRPr="00CC6BB5" w:rsidTr="00CC6BB5">
        <w:trPr>
          <w:trHeight w:val="415"/>
        </w:trPr>
        <w:tc>
          <w:tcPr>
            <w:tcW w:w="199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r w:rsidRPr="00CC6BB5">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494,0</w:t>
            </w:r>
          </w:p>
        </w:tc>
        <w:tc>
          <w:tcPr>
            <w:tcW w:w="1216"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489,6</w:t>
            </w:r>
          </w:p>
        </w:tc>
        <w:tc>
          <w:tcPr>
            <w:tcW w:w="1283"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99,11</w:t>
            </w:r>
          </w:p>
        </w:tc>
        <w:tc>
          <w:tcPr>
            <w:tcW w:w="3760" w:type="dxa"/>
            <w:tcBorders>
              <w:top w:val="single" w:sz="4" w:space="0" w:color="auto"/>
              <w:left w:val="single" w:sz="4" w:space="0" w:color="auto"/>
              <w:bottom w:val="single" w:sz="4" w:space="0" w:color="auto"/>
              <w:right w:val="single" w:sz="4" w:space="0" w:color="auto"/>
            </w:tcBorders>
          </w:tcPr>
          <w:p w:rsidR="00CC6BB5" w:rsidRPr="00CC6BB5" w:rsidRDefault="00CC6BB5" w:rsidP="00CC6BB5">
            <w:r w:rsidRPr="00CC6BB5">
              <w:t xml:space="preserve">Ne visos panaudotos išeitinėms planuotos lėšos </w:t>
            </w:r>
          </w:p>
        </w:tc>
      </w:tr>
      <w:tr w:rsidR="00CC6BB5" w:rsidRPr="00CC6BB5" w:rsidTr="00CC6BB5">
        <w:tc>
          <w:tcPr>
            <w:tcW w:w="199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r w:rsidRPr="00CC6BB5">
              <w:t>Specialioji tikslinė dotacija</w:t>
            </w:r>
          </w:p>
          <w:p w:rsidR="00CC6BB5" w:rsidRPr="00CC6BB5" w:rsidRDefault="00CC6BB5" w:rsidP="00CC6BB5">
            <w:r w:rsidRPr="00CC6BB5">
              <w:t>(VB)</w:t>
            </w:r>
          </w:p>
        </w:tc>
        <w:tc>
          <w:tcPr>
            <w:tcW w:w="1470"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334,0</w:t>
            </w:r>
          </w:p>
        </w:tc>
        <w:tc>
          <w:tcPr>
            <w:tcW w:w="1216"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333,2</w:t>
            </w:r>
          </w:p>
        </w:tc>
        <w:tc>
          <w:tcPr>
            <w:tcW w:w="1283"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99,76</w:t>
            </w:r>
          </w:p>
        </w:tc>
        <w:tc>
          <w:tcPr>
            <w:tcW w:w="3760" w:type="dxa"/>
            <w:tcBorders>
              <w:top w:val="single" w:sz="4" w:space="0" w:color="auto"/>
              <w:left w:val="single" w:sz="4" w:space="0" w:color="auto"/>
              <w:bottom w:val="single" w:sz="4" w:space="0" w:color="auto"/>
              <w:right w:val="single" w:sz="4" w:space="0" w:color="auto"/>
            </w:tcBorders>
          </w:tcPr>
          <w:p w:rsidR="00CC6BB5" w:rsidRPr="00CC6BB5" w:rsidRDefault="00CC6BB5" w:rsidP="00CC6BB5">
            <w:r w:rsidRPr="00CC6BB5">
              <w:t xml:space="preserve">Dėl IV ketv. sumažėjusio vaikų lankomumo panaudotos ne visos suplanuotos nemokamo maitinimo lėšos </w:t>
            </w:r>
          </w:p>
        </w:tc>
      </w:tr>
      <w:tr w:rsidR="00CC6BB5" w:rsidRPr="00CC6BB5" w:rsidTr="00CC6BB5">
        <w:tc>
          <w:tcPr>
            <w:tcW w:w="199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r w:rsidRPr="00CC6BB5">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1,1</w:t>
            </w:r>
          </w:p>
          <w:p w:rsidR="00CC6BB5" w:rsidRPr="00CC6BB5" w:rsidRDefault="00CC6BB5" w:rsidP="00CC6BB5">
            <w:pPr>
              <w:jc w:val="center"/>
            </w:pPr>
          </w:p>
          <w:p w:rsidR="00CC6BB5" w:rsidRPr="00CC6BB5" w:rsidRDefault="00CC6BB5" w:rsidP="00CC6BB5">
            <w:pPr>
              <w:jc w:val="center"/>
            </w:pPr>
            <w:r w:rsidRPr="00CC6BB5">
              <w:t>112,0</w:t>
            </w:r>
          </w:p>
        </w:tc>
        <w:tc>
          <w:tcPr>
            <w:tcW w:w="1216"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0,7</w:t>
            </w:r>
          </w:p>
          <w:p w:rsidR="00CC6BB5" w:rsidRPr="00CC6BB5" w:rsidRDefault="00CC6BB5" w:rsidP="00CC6BB5">
            <w:pPr>
              <w:jc w:val="center"/>
            </w:pPr>
          </w:p>
          <w:p w:rsidR="00CC6BB5" w:rsidRPr="00CC6BB5" w:rsidRDefault="00CC6BB5" w:rsidP="00CC6BB5">
            <w:pPr>
              <w:jc w:val="center"/>
            </w:pPr>
            <w:r w:rsidRPr="00CC6BB5">
              <w:t>117,2</w:t>
            </w:r>
          </w:p>
          <w:p w:rsidR="00CC6BB5" w:rsidRPr="00CC6BB5" w:rsidRDefault="00CC6BB5" w:rsidP="00CC6BB5">
            <w:pPr>
              <w:jc w:val="center"/>
            </w:pPr>
          </w:p>
        </w:tc>
        <w:tc>
          <w:tcPr>
            <w:tcW w:w="1283" w:type="dxa"/>
            <w:tcBorders>
              <w:top w:val="single" w:sz="4" w:space="0" w:color="auto"/>
              <w:left w:val="single" w:sz="4" w:space="0" w:color="auto"/>
              <w:bottom w:val="single" w:sz="4" w:space="0" w:color="auto"/>
              <w:right w:val="single" w:sz="4" w:space="0" w:color="auto"/>
            </w:tcBorders>
          </w:tcPr>
          <w:p w:rsidR="00CC6BB5" w:rsidRPr="00CC6BB5" w:rsidRDefault="00CC6BB5" w:rsidP="00CC6BB5">
            <w:pPr>
              <w:jc w:val="center"/>
            </w:pPr>
            <w:r w:rsidRPr="00CC6BB5">
              <w:t>63,64</w:t>
            </w:r>
          </w:p>
          <w:p w:rsidR="00CC6BB5" w:rsidRPr="00CC6BB5" w:rsidRDefault="00CC6BB5" w:rsidP="00CC6BB5">
            <w:pPr>
              <w:jc w:val="center"/>
            </w:pPr>
          </w:p>
          <w:p w:rsidR="00CC6BB5" w:rsidRPr="00CC6BB5" w:rsidRDefault="00CC6BB5" w:rsidP="00CC6BB5">
            <w:pPr>
              <w:jc w:val="center"/>
            </w:pPr>
            <w:r w:rsidRPr="00CC6BB5">
              <w:t>104,64</w:t>
            </w:r>
          </w:p>
        </w:tc>
        <w:tc>
          <w:tcPr>
            <w:tcW w:w="3760" w:type="dxa"/>
            <w:tcBorders>
              <w:top w:val="single" w:sz="4" w:space="0" w:color="auto"/>
              <w:left w:val="single" w:sz="4" w:space="0" w:color="auto"/>
              <w:bottom w:val="single" w:sz="4" w:space="0" w:color="auto"/>
              <w:right w:val="single" w:sz="4" w:space="0" w:color="auto"/>
            </w:tcBorders>
          </w:tcPr>
          <w:p w:rsidR="00CC6BB5" w:rsidRPr="00CC6BB5" w:rsidRDefault="00CC6BB5" w:rsidP="00CC6BB5">
            <w:r w:rsidRPr="00CC6BB5">
              <w:t>Negautos lėšos iš nuomos</w:t>
            </w:r>
            <w:r w:rsidR="00EA57E6">
              <w:t>;</w:t>
            </w:r>
          </w:p>
          <w:p w:rsidR="00CC6BB5" w:rsidRPr="00CC6BB5" w:rsidRDefault="00CC6BB5" w:rsidP="00CC6BB5">
            <w:r w:rsidRPr="00CC6BB5">
              <w:t>įmokų surinkimas viršijo sąmatą</w:t>
            </w:r>
          </w:p>
        </w:tc>
      </w:tr>
      <w:tr w:rsidR="00CC6BB5" w:rsidRPr="00CC6BB5" w:rsidTr="00CC6BB5">
        <w:trPr>
          <w:trHeight w:val="477"/>
        </w:trPr>
        <w:tc>
          <w:tcPr>
            <w:tcW w:w="199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CC6BB5">
            <w:r w:rsidRPr="00CC6BB5">
              <w:t>Pajamų išlaidos (SP)</w:t>
            </w:r>
          </w:p>
          <w:p w:rsidR="00CC6BB5" w:rsidRPr="00CC6BB5" w:rsidRDefault="00CC6BB5" w:rsidP="00CC6BB5"/>
        </w:tc>
        <w:tc>
          <w:tcPr>
            <w:tcW w:w="1470" w:type="dxa"/>
            <w:tcBorders>
              <w:top w:val="single" w:sz="4" w:space="0" w:color="auto"/>
              <w:left w:val="single" w:sz="4" w:space="0" w:color="auto"/>
              <w:bottom w:val="single" w:sz="4" w:space="0" w:color="auto"/>
              <w:right w:val="single" w:sz="4" w:space="0" w:color="auto"/>
            </w:tcBorders>
            <w:hideMark/>
          </w:tcPr>
          <w:p w:rsidR="00CC6BB5" w:rsidRPr="00CC6BB5" w:rsidRDefault="00CC6BB5" w:rsidP="00B84847"/>
          <w:p w:rsidR="00CC6BB5" w:rsidRPr="00CC6BB5" w:rsidRDefault="00CC6BB5" w:rsidP="00B84847">
            <w:pPr>
              <w:jc w:val="center"/>
            </w:pPr>
            <w:r w:rsidRPr="00CC6BB5">
              <w:t>-</w:t>
            </w:r>
          </w:p>
          <w:p w:rsidR="00CC6BB5" w:rsidRPr="00CC6BB5" w:rsidRDefault="00CC6BB5" w:rsidP="00CC6BB5">
            <w:pPr>
              <w:jc w:val="center"/>
            </w:pPr>
            <w:r w:rsidRPr="00CC6BB5">
              <w:t>-</w:t>
            </w:r>
          </w:p>
        </w:tc>
        <w:tc>
          <w:tcPr>
            <w:tcW w:w="1216" w:type="dxa"/>
            <w:tcBorders>
              <w:top w:val="single" w:sz="4" w:space="0" w:color="auto"/>
              <w:left w:val="single" w:sz="4" w:space="0" w:color="auto"/>
              <w:bottom w:val="single" w:sz="4" w:space="0" w:color="auto"/>
              <w:right w:val="single" w:sz="4" w:space="0" w:color="auto"/>
            </w:tcBorders>
          </w:tcPr>
          <w:p w:rsidR="00CC6BB5" w:rsidRPr="00CC6BB5" w:rsidRDefault="00CC6BB5" w:rsidP="00B84847"/>
          <w:p w:rsidR="00CC6BB5" w:rsidRPr="00CC6BB5" w:rsidRDefault="00CC6BB5" w:rsidP="00B84847">
            <w:pPr>
              <w:jc w:val="center"/>
            </w:pPr>
            <w:r w:rsidRPr="00CC6BB5">
              <w:t>0,6</w:t>
            </w:r>
          </w:p>
          <w:p w:rsidR="00CC6BB5" w:rsidRPr="00CC6BB5" w:rsidRDefault="00CC6BB5" w:rsidP="00CC6BB5">
            <w:pPr>
              <w:jc w:val="center"/>
            </w:pPr>
            <w:r w:rsidRPr="00CC6BB5">
              <w:t>94,7</w:t>
            </w:r>
          </w:p>
        </w:tc>
        <w:tc>
          <w:tcPr>
            <w:tcW w:w="1283" w:type="dxa"/>
            <w:tcBorders>
              <w:top w:val="single" w:sz="4" w:space="0" w:color="auto"/>
              <w:left w:val="single" w:sz="4" w:space="0" w:color="auto"/>
              <w:bottom w:val="single" w:sz="4" w:space="0" w:color="auto"/>
              <w:right w:val="single" w:sz="4" w:space="0" w:color="auto"/>
            </w:tcBorders>
          </w:tcPr>
          <w:p w:rsidR="00CC6BB5" w:rsidRPr="00CC6BB5" w:rsidRDefault="00CC6BB5" w:rsidP="00B84847"/>
          <w:p w:rsidR="00CC6BB5" w:rsidRPr="00CC6BB5" w:rsidRDefault="00CC6BB5" w:rsidP="00B84847">
            <w:pPr>
              <w:jc w:val="center"/>
            </w:pPr>
            <w:r w:rsidRPr="00CC6BB5">
              <w:t>85,71</w:t>
            </w:r>
          </w:p>
          <w:p w:rsidR="00CC6BB5" w:rsidRPr="00CC6BB5" w:rsidRDefault="00CC6BB5" w:rsidP="00CC6BB5">
            <w:pPr>
              <w:jc w:val="center"/>
            </w:pPr>
            <w:r w:rsidRPr="00CC6BB5">
              <w:t>80,80</w:t>
            </w:r>
          </w:p>
        </w:tc>
        <w:tc>
          <w:tcPr>
            <w:tcW w:w="3760" w:type="dxa"/>
            <w:tcBorders>
              <w:top w:val="single" w:sz="4" w:space="0" w:color="auto"/>
              <w:left w:val="single" w:sz="4" w:space="0" w:color="auto"/>
              <w:bottom w:val="single" w:sz="4" w:space="0" w:color="auto"/>
              <w:right w:val="single" w:sz="4" w:space="0" w:color="auto"/>
            </w:tcBorders>
          </w:tcPr>
          <w:p w:rsidR="00CC6BB5" w:rsidRPr="00EA57E6" w:rsidRDefault="00CC6BB5" w:rsidP="00CC6BB5">
            <w:r w:rsidRPr="00CC6BB5">
              <w:t>Nepanaudot</w:t>
            </w:r>
            <w:r w:rsidR="00EA57E6">
              <w:t>os</w:t>
            </w:r>
            <w:r w:rsidRPr="00CC6BB5">
              <w:t xml:space="preserve"> lėš</w:t>
            </w:r>
            <w:r w:rsidR="00EA57E6">
              <w:t>os</w:t>
            </w:r>
            <w:r w:rsidRPr="00CC6BB5">
              <w:t>, skirt</w:t>
            </w:r>
            <w:r w:rsidR="00EA57E6">
              <w:t>os</w:t>
            </w:r>
            <w:r w:rsidRPr="00CC6BB5">
              <w:t xml:space="preserve"> paslaugų apmokėjimui, nedarbingumui, nes buvo dengiama iš kitų šaltinių;</w:t>
            </w:r>
            <w:r w:rsidR="00EA57E6">
              <w:t xml:space="preserve"> </w:t>
            </w:r>
            <w:r w:rsidRPr="00CC6BB5">
              <w:t>neapmokėtos maisto sąskaitos už paskutines gruodžio dienas</w:t>
            </w:r>
          </w:p>
        </w:tc>
      </w:tr>
      <w:tr w:rsidR="00EA57E6" w:rsidRPr="00EA57E6" w:rsidTr="00CC6BB5">
        <w:tc>
          <w:tcPr>
            <w:tcW w:w="1990" w:type="dxa"/>
            <w:tcBorders>
              <w:top w:val="single" w:sz="4" w:space="0" w:color="auto"/>
              <w:left w:val="single" w:sz="4" w:space="0" w:color="auto"/>
              <w:bottom w:val="single" w:sz="4" w:space="0" w:color="auto"/>
              <w:right w:val="single" w:sz="4" w:space="0" w:color="auto"/>
            </w:tcBorders>
            <w:hideMark/>
          </w:tcPr>
          <w:p w:rsidR="00CC6BB5" w:rsidRPr="00EA57E6" w:rsidRDefault="00CC6BB5" w:rsidP="00CC6BB5">
            <w:r w:rsidRPr="00EA57E6">
              <w:lastRenderedPageBreak/>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rPr>
                <w:highlight w:val="yellow"/>
              </w:rPr>
            </w:pPr>
            <w:r w:rsidRPr="00EA57E6">
              <w:t>7,7</w:t>
            </w:r>
          </w:p>
        </w:tc>
        <w:tc>
          <w:tcPr>
            <w:tcW w:w="1216"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rPr>
                <w:highlight w:val="yellow"/>
              </w:rPr>
            </w:pPr>
            <w:r w:rsidRPr="00EA57E6">
              <w:t>2,7</w:t>
            </w:r>
          </w:p>
        </w:tc>
        <w:tc>
          <w:tcPr>
            <w:tcW w:w="1283"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pPr>
            <w:r w:rsidRPr="00EA57E6">
              <w:t>35,06</w:t>
            </w:r>
          </w:p>
        </w:tc>
        <w:tc>
          <w:tcPr>
            <w:tcW w:w="3760" w:type="dxa"/>
            <w:tcBorders>
              <w:top w:val="single" w:sz="4" w:space="0" w:color="auto"/>
              <w:left w:val="single" w:sz="4" w:space="0" w:color="auto"/>
              <w:bottom w:val="single" w:sz="4" w:space="0" w:color="auto"/>
              <w:right w:val="single" w:sz="4" w:space="0" w:color="auto"/>
            </w:tcBorders>
          </w:tcPr>
          <w:p w:rsidR="00CC6BB5" w:rsidRPr="00EA57E6" w:rsidRDefault="00EA57E6" w:rsidP="00CC6BB5">
            <w:r w:rsidRPr="00EA57E6">
              <w:t>Lėšos kaupiamos įstaigos reikmėms</w:t>
            </w:r>
          </w:p>
        </w:tc>
      </w:tr>
      <w:tr w:rsidR="00EA57E6" w:rsidRPr="00EA57E6" w:rsidTr="00CC6BB5">
        <w:trPr>
          <w:trHeight w:val="430"/>
        </w:trPr>
        <w:tc>
          <w:tcPr>
            <w:tcW w:w="1990" w:type="dxa"/>
            <w:tcBorders>
              <w:top w:val="single" w:sz="4" w:space="0" w:color="auto"/>
              <w:left w:val="single" w:sz="4" w:space="0" w:color="auto"/>
              <w:bottom w:val="single" w:sz="4" w:space="0" w:color="auto"/>
              <w:right w:val="single" w:sz="4" w:space="0" w:color="auto"/>
            </w:tcBorders>
            <w:hideMark/>
          </w:tcPr>
          <w:p w:rsidR="00CC6BB5" w:rsidRPr="00EA57E6" w:rsidRDefault="00CC6BB5" w:rsidP="00CC6BB5">
            <w:r w:rsidRPr="00EA57E6">
              <w:t>Iš viso</w:t>
            </w:r>
          </w:p>
        </w:tc>
        <w:tc>
          <w:tcPr>
            <w:tcW w:w="1470"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pPr>
            <w:r w:rsidRPr="00EA57E6">
              <w:t>948,8</w:t>
            </w:r>
          </w:p>
        </w:tc>
        <w:tc>
          <w:tcPr>
            <w:tcW w:w="1216"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pPr>
            <w:r w:rsidRPr="00EA57E6">
              <w:t>920,8</w:t>
            </w:r>
          </w:p>
        </w:tc>
        <w:tc>
          <w:tcPr>
            <w:tcW w:w="1283" w:type="dxa"/>
            <w:tcBorders>
              <w:top w:val="single" w:sz="4" w:space="0" w:color="auto"/>
              <w:left w:val="single" w:sz="4" w:space="0" w:color="auto"/>
              <w:bottom w:val="single" w:sz="4" w:space="0" w:color="auto"/>
              <w:right w:val="single" w:sz="4" w:space="0" w:color="auto"/>
            </w:tcBorders>
          </w:tcPr>
          <w:p w:rsidR="00CC6BB5" w:rsidRPr="00EA57E6" w:rsidRDefault="00CC6BB5" w:rsidP="00CC6BB5">
            <w:pPr>
              <w:jc w:val="center"/>
            </w:pPr>
            <w:r w:rsidRPr="00EA57E6">
              <w:t>97,05</w:t>
            </w:r>
          </w:p>
        </w:tc>
        <w:tc>
          <w:tcPr>
            <w:tcW w:w="3760" w:type="dxa"/>
            <w:tcBorders>
              <w:top w:val="single" w:sz="4" w:space="0" w:color="auto"/>
              <w:left w:val="single" w:sz="4" w:space="0" w:color="auto"/>
              <w:bottom w:val="single" w:sz="4" w:space="0" w:color="auto"/>
              <w:right w:val="single" w:sz="4" w:space="0" w:color="auto"/>
            </w:tcBorders>
          </w:tcPr>
          <w:p w:rsidR="00CC6BB5" w:rsidRPr="00EA57E6" w:rsidRDefault="00CC6BB5" w:rsidP="00CC6BB5"/>
        </w:tc>
      </w:tr>
      <w:tr w:rsidR="00EA57E6" w:rsidRPr="00EA57E6" w:rsidTr="00CC6BB5">
        <w:tc>
          <w:tcPr>
            <w:tcW w:w="4676" w:type="dxa"/>
            <w:gridSpan w:val="3"/>
            <w:tcBorders>
              <w:top w:val="single" w:sz="4" w:space="0" w:color="auto"/>
              <w:left w:val="single" w:sz="4" w:space="0" w:color="auto"/>
              <w:bottom w:val="single" w:sz="4" w:space="0" w:color="auto"/>
              <w:right w:val="single" w:sz="4" w:space="0" w:color="auto"/>
            </w:tcBorders>
          </w:tcPr>
          <w:p w:rsidR="00CC6BB5" w:rsidRPr="00EA57E6" w:rsidRDefault="00CC6BB5" w:rsidP="00CC6BB5">
            <w:r w:rsidRPr="00EA57E6">
              <w:t>Kreditinis įsiskolinimas (pagal visus finansavimo šaltinius) 2023 m. sausio 1 d. – 0,464 tūkst. Eur</w:t>
            </w:r>
          </w:p>
        </w:tc>
        <w:tc>
          <w:tcPr>
            <w:tcW w:w="1283" w:type="dxa"/>
            <w:tcBorders>
              <w:top w:val="single" w:sz="4" w:space="0" w:color="auto"/>
              <w:left w:val="single" w:sz="4" w:space="0" w:color="auto"/>
              <w:bottom w:val="single" w:sz="4" w:space="0" w:color="auto"/>
              <w:right w:val="single" w:sz="4" w:space="0" w:color="auto"/>
            </w:tcBorders>
          </w:tcPr>
          <w:p w:rsidR="00CC6BB5" w:rsidRPr="00EA57E6" w:rsidRDefault="00CC6BB5" w:rsidP="00CC6BB5"/>
        </w:tc>
        <w:tc>
          <w:tcPr>
            <w:tcW w:w="3760" w:type="dxa"/>
            <w:tcBorders>
              <w:top w:val="single" w:sz="4" w:space="0" w:color="auto"/>
              <w:left w:val="single" w:sz="4" w:space="0" w:color="auto"/>
              <w:bottom w:val="single" w:sz="4" w:space="0" w:color="auto"/>
              <w:right w:val="single" w:sz="4" w:space="0" w:color="auto"/>
            </w:tcBorders>
          </w:tcPr>
          <w:p w:rsidR="00CC6BB5" w:rsidRPr="00EA57E6" w:rsidRDefault="00CC6BB5" w:rsidP="00CC6BB5">
            <w:r w:rsidRPr="00EA57E6">
              <w:t>Neapmokėtos gautos sąskaitos 2022 m. gruodžio 28</w:t>
            </w:r>
            <w:r w:rsidR="00EA57E6" w:rsidRPr="00EA57E6">
              <w:t>–</w:t>
            </w:r>
            <w:r w:rsidRPr="00EA57E6">
              <w:t xml:space="preserve">29 d., nes </w:t>
            </w:r>
            <w:r w:rsidR="00EA57E6" w:rsidRPr="00EA57E6">
              <w:t xml:space="preserve">buvo </w:t>
            </w:r>
            <w:r w:rsidRPr="00EA57E6">
              <w:t xml:space="preserve">nebevykdomi mokėjimai </w:t>
            </w:r>
          </w:p>
        </w:tc>
      </w:tr>
    </w:tbl>
    <w:p w:rsidR="00CC6BB5" w:rsidRPr="00CC6BB5" w:rsidRDefault="00CC6BB5" w:rsidP="00CC6BB5">
      <w:pPr>
        <w:tabs>
          <w:tab w:val="left" w:pos="284"/>
          <w:tab w:val="left" w:pos="426"/>
        </w:tabs>
        <w:ind w:firstLine="567"/>
        <w:jc w:val="both"/>
        <w:rPr>
          <w:rFonts w:eastAsia="Calibri"/>
        </w:rPr>
      </w:pPr>
      <w:r w:rsidRPr="00EA57E6">
        <w:rPr>
          <w:rFonts w:eastAsia="Calibri"/>
        </w:rPr>
        <w:t xml:space="preserve">Įstaigoje 2022-02-22 atliktas planinis </w:t>
      </w:r>
      <w:r w:rsidR="00B84847" w:rsidRPr="007C5CB9">
        <w:rPr>
          <w:szCs w:val="20"/>
        </w:rPr>
        <w:t xml:space="preserve">Valstybinės maisto ir veterinarijos Klaipėdos departamento </w:t>
      </w:r>
      <w:r w:rsidRPr="00EA57E6">
        <w:rPr>
          <w:rFonts w:eastAsia="Calibri"/>
        </w:rPr>
        <w:t>patikrinimas (aktas Nr.37VMĮP-1148), 2022-05-11 –</w:t>
      </w:r>
      <w:r w:rsidR="00B84847" w:rsidRPr="00B84847">
        <w:rPr>
          <w:rFonts w:eastAsiaTheme="minorHAnsi"/>
        </w:rPr>
        <w:t xml:space="preserve"> </w:t>
      </w:r>
      <w:r w:rsidR="00B84847" w:rsidRPr="00DB29AD">
        <w:rPr>
          <w:rFonts w:eastAsiaTheme="minorHAnsi"/>
        </w:rPr>
        <w:t>Nacionalinio visuomenės sveikatos centro prie Sveikatos apsaugos ministerijos Klaipėdos departament</w:t>
      </w:r>
      <w:r w:rsidR="00B84847">
        <w:rPr>
          <w:rFonts w:eastAsiaTheme="minorHAnsi"/>
        </w:rPr>
        <w:t xml:space="preserve">o </w:t>
      </w:r>
      <w:r w:rsidRPr="00CC6BB5">
        <w:rPr>
          <w:rFonts w:eastAsia="Calibri"/>
        </w:rPr>
        <w:t>patikrinimas (aktas Nr. (3-12 15.3.2 Mr) PA-2468), 2022-10-27 – vaikų žaidimų aikštelės kontrolė (ataskaita Nr. P2929-91264-1-2022). Atliktų patikrinimų metu pažeidimų ir trūkumų nenustatyta. 2022 m. vasario – liepos mėn. Klaipėdos miesto savivaldybės Kontrolės ir audito tarnyba atliko „Vaikų ir mokinių maitinimo organizavimo Klaipėdos miesto savivaldybės švietimo įstaigose“ bei finansinio ir teisėtumo auditus. Įstaiga parengė pateiktų rekomendacijų įgyvendinimo priemonių planą ir įgyvendino numatytas priemones laiku.</w:t>
      </w:r>
    </w:p>
    <w:p w:rsidR="00CC6BB5" w:rsidRDefault="00CC6BB5" w:rsidP="00CC6BB5">
      <w:pPr>
        <w:tabs>
          <w:tab w:val="left" w:pos="284"/>
          <w:tab w:val="left" w:pos="426"/>
        </w:tabs>
        <w:ind w:firstLine="567"/>
        <w:jc w:val="both"/>
        <w:rPr>
          <w:rFonts w:eastAsia="Calibri"/>
          <w:u w:val="single"/>
          <w:lang w:eastAsia="lt-LT"/>
        </w:rPr>
      </w:pPr>
      <w:r w:rsidRPr="00CC6BB5">
        <w:rPr>
          <w:rFonts w:eastAsia="Calibri"/>
        </w:rPr>
        <w:t xml:space="preserve">2022 m. Įstaigoje liko neišspręstos tokios vidaus ir išorės faktorių sąlygotos problemos: reikalinga įrengti pamatų drenažą, nes dėl dažnai užliejamo vandeniu rūsio, koridoriaus patalpose drėksta sienos ir atšoka apdailos paviršius. Dėl pasenusios elektros instaliacijos kyla elektros tiekimo gedimai. Klaipėdos miesto savivaldybės administracijos direktoriui 2022-05-23 buvo teiktas raštas Nr. SI-2022/-37 dėl drenažo sistemos tvarkymo darbų ir elektros instaliacijos atnaujinimo. Būtina šildymo sistemos renovacija, nes dėl senos šildymo sistemos vyrauja temperatūrų skirtumai skirtingose pastato dalyse. Atnaujinus šildymo sistemą, būtų galima taupiau naudoti šildymui skirtus išteklius. </w:t>
      </w:r>
    </w:p>
    <w:p w:rsidR="005D5036" w:rsidRPr="00CC6BB5" w:rsidRDefault="00CC6BB5" w:rsidP="00CC6BB5">
      <w:pPr>
        <w:tabs>
          <w:tab w:val="left" w:pos="284"/>
          <w:tab w:val="left" w:pos="426"/>
        </w:tabs>
        <w:ind w:firstLine="567"/>
        <w:jc w:val="both"/>
        <w:rPr>
          <w:rFonts w:eastAsia="Calibri"/>
          <w:u w:val="single"/>
          <w:lang w:eastAsia="lt-LT"/>
        </w:rPr>
      </w:pPr>
      <w:r w:rsidRPr="00CC6BB5">
        <w:rPr>
          <w:lang w:eastAsia="lt-LT"/>
        </w:rPr>
        <w:t xml:space="preserve">Planuodama 2023 m. veiklą, Įstaigos bendruomenė susitarė dėl veiklos prioriteto – </w:t>
      </w:r>
      <w:r w:rsidRPr="00CC6BB5">
        <w:rPr>
          <w:rFonts w:eastAsia="Calibri"/>
        </w:rPr>
        <w:t>kokybiško ugdymo proceso organizavimas, sudarant sąlygas ugdytis kiekvienam vaikui, atsižvelgiant į jo individualią pažangą</w:t>
      </w:r>
      <w:r w:rsidR="00970A9C">
        <w:rPr>
          <w:rFonts w:eastAsia="Calibri"/>
        </w:rPr>
        <w:t>.</w:t>
      </w:r>
    </w:p>
    <w:p w:rsidR="00CC6BB5" w:rsidRDefault="00CC6BB5" w:rsidP="004C067A"/>
    <w:p w:rsidR="00CC6BB5" w:rsidRDefault="00CC6BB5" w:rsidP="004C067A"/>
    <w:p w:rsidR="004C067A" w:rsidRDefault="00CC6BB5" w:rsidP="004C067A">
      <w:r w:rsidRPr="00EA231E">
        <w:rPr>
          <w:color w:val="000000"/>
          <w:lang w:eastAsia="lt-LT"/>
        </w:rPr>
        <w:t>Direktorė</w:t>
      </w:r>
      <w:r>
        <w:rPr>
          <w:color w:val="000000"/>
          <w:lang w:eastAsia="lt-LT"/>
        </w:rPr>
        <w:tab/>
      </w:r>
      <w:r>
        <w:rPr>
          <w:color w:val="000000"/>
          <w:lang w:eastAsia="lt-LT"/>
        </w:rPr>
        <w:tab/>
      </w:r>
      <w:r>
        <w:rPr>
          <w:color w:val="000000"/>
          <w:lang w:eastAsia="lt-LT"/>
        </w:rPr>
        <w:tab/>
      </w:r>
      <w:r>
        <w:rPr>
          <w:color w:val="000000"/>
          <w:lang w:eastAsia="lt-LT"/>
        </w:rPr>
        <w:tab/>
      </w:r>
      <w:r>
        <w:rPr>
          <w:color w:val="000000"/>
          <w:lang w:eastAsia="lt-LT"/>
        </w:rPr>
        <w:tab/>
      </w:r>
      <w:r>
        <w:rPr>
          <w:color w:val="000000"/>
          <w:lang w:eastAsia="lt-LT"/>
        </w:rPr>
        <w:tab/>
        <w:t>Loreta Žiliuvienė</w:t>
      </w:r>
    </w:p>
    <w:p w:rsidR="00332C2F" w:rsidRDefault="00332C2F" w:rsidP="004C067A">
      <w:pPr>
        <w:jc w:val="center"/>
      </w:pPr>
    </w:p>
    <w:p w:rsidR="00332C2F" w:rsidRDefault="00332C2F" w:rsidP="00332C2F"/>
    <w:p w:rsidR="00332C2F" w:rsidRDefault="00332C2F" w:rsidP="00332C2F">
      <w:pPr>
        <w:jc w:val="center"/>
      </w:pPr>
      <w:r>
        <w:t>_______________________</w:t>
      </w:r>
    </w:p>
    <w:p w:rsidR="00D57F27" w:rsidRPr="00332C2F" w:rsidRDefault="00D57F27" w:rsidP="00332C2F">
      <w:pPr>
        <w:tabs>
          <w:tab w:val="left" w:pos="3996"/>
        </w:tabs>
        <w:jc w:val="center"/>
      </w:pPr>
    </w:p>
    <w:sectPr w:rsidR="00D57F27" w:rsidRPr="00332C2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D22A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D13B6"/>
    <w:rsid w:val="00332C2F"/>
    <w:rsid w:val="0034183E"/>
    <w:rsid w:val="004476DD"/>
    <w:rsid w:val="004C067A"/>
    <w:rsid w:val="00597EE8"/>
    <w:rsid w:val="005B434A"/>
    <w:rsid w:val="005D5036"/>
    <w:rsid w:val="005F482E"/>
    <w:rsid w:val="005F495C"/>
    <w:rsid w:val="00616F5A"/>
    <w:rsid w:val="00677042"/>
    <w:rsid w:val="007B1666"/>
    <w:rsid w:val="007D2C21"/>
    <w:rsid w:val="00832CC9"/>
    <w:rsid w:val="008354D5"/>
    <w:rsid w:val="008E6E82"/>
    <w:rsid w:val="00970A9C"/>
    <w:rsid w:val="00A339BB"/>
    <w:rsid w:val="00AD22AE"/>
    <w:rsid w:val="00AF7D08"/>
    <w:rsid w:val="00B750B6"/>
    <w:rsid w:val="00B84847"/>
    <w:rsid w:val="00BF1667"/>
    <w:rsid w:val="00C57681"/>
    <w:rsid w:val="00CA4D3B"/>
    <w:rsid w:val="00CC6BB5"/>
    <w:rsid w:val="00D23711"/>
    <w:rsid w:val="00D42B72"/>
    <w:rsid w:val="00D57F27"/>
    <w:rsid w:val="00DD319C"/>
    <w:rsid w:val="00E33871"/>
    <w:rsid w:val="00E56A73"/>
    <w:rsid w:val="00EA57E6"/>
    <w:rsid w:val="00F1275A"/>
    <w:rsid w:val="00F2394B"/>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69103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5452C-2323-4520-B995-D1B1E283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6247</Words>
  <Characters>3561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2023-05-02T11:31:00Z</dcterms:created>
  <dcterms:modified xsi:type="dcterms:W3CDTF">2023-05-04T06:04:00Z</dcterms:modified>
</cp:coreProperties>
</file>